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FABA4" w14:textId="7C27E452" w:rsidR="00AF5D54" w:rsidRPr="00B4658E" w:rsidRDefault="00556726" w:rsidP="001E7654">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14:paraId="1DE89E8D" w14:textId="3EA18851" w:rsidR="001E7654" w:rsidRPr="00B4658E" w:rsidRDefault="00556726" w:rsidP="001E7654">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14:paraId="69C8BF1F" w14:textId="18BE8A15" w:rsidR="001E7654" w:rsidRPr="00B4658E" w:rsidRDefault="001E7654" w:rsidP="001E7654">
      <w:pPr>
        <w:spacing w:after="0" w:line="480" w:lineRule="auto"/>
        <w:rPr>
          <w:rFonts w:ascii="Times New Roman" w:hAnsi="Times New Roman" w:cs="Times New Roman"/>
          <w:sz w:val="24"/>
          <w:szCs w:val="24"/>
        </w:rPr>
      </w:pPr>
      <w:r w:rsidRPr="00B4658E">
        <w:rPr>
          <w:rFonts w:ascii="Times New Roman" w:hAnsi="Times New Roman" w:cs="Times New Roman"/>
          <w:sz w:val="24"/>
          <w:szCs w:val="24"/>
        </w:rPr>
        <w:t>English 1102</w:t>
      </w:r>
    </w:p>
    <w:p w14:paraId="60C40538" w14:textId="594FF903" w:rsidR="001E7654" w:rsidRPr="00B4658E" w:rsidRDefault="001E7654" w:rsidP="001E7654">
      <w:pPr>
        <w:spacing w:after="0" w:line="480" w:lineRule="auto"/>
        <w:rPr>
          <w:rFonts w:ascii="Times New Roman" w:hAnsi="Times New Roman" w:cs="Times New Roman"/>
          <w:sz w:val="24"/>
          <w:szCs w:val="24"/>
        </w:rPr>
      </w:pPr>
      <w:r w:rsidRPr="00B4658E">
        <w:rPr>
          <w:rFonts w:ascii="Times New Roman" w:hAnsi="Times New Roman" w:cs="Times New Roman"/>
          <w:sz w:val="24"/>
          <w:szCs w:val="24"/>
        </w:rPr>
        <w:t>13 July 2020</w:t>
      </w:r>
    </w:p>
    <w:p w14:paraId="6C10E06C" w14:textId="16495C09" w:rsidR="001E7654" w:rsidRPr="00B4658E" w:rsidRDefault="001E7654" w:rsidP="001E7654">
      <w:pPr>
        <w:spacing w:after="0" w:line="480" w:lineRule="auto"/>
        <w:jc w:val="center"/>
        <w:rPr>
          <w:rFonts w:ascii="Times New Roman" w:hAnsi="Times New Roman" w:cs="Times New Roman"/>
          <w:sz w:val="24"/>
          <w:szCs w:val="24"/>
        </w:rPr>
      </w:pPr>
      <w:r w:rsidRPr="00B4658E">
        <w:rPr>
          <w:rFonts w:ascii="Times New Roman" w:hAnsi="Times New Roman" w:cs="Times New Roman"/>
          <w:sz w:val="24"/>
          <w:szCs w:val="24"/>
        </w:rPr>
        <w:t>Leo Tolstoy’s Top Five Works</w:t>
      </w:r>
    </w:p>
    <w:p w14:paraId="175C76E0" w14:textId="76490964" w:rsidR="001E7654" w:rsidRPr="00B4658E" w:rsidRDefault="001E7654" w:rsidP="001E7654">
      <w:pPr>
        <w:spacing w:after="0" w:line="480" w:lineRule="auto"/>
        <w:rPr>
          <w:rFonts w:ascii="Times New Roman" w:hAnsi="Times New Roman" w:cs="Times New Roman"/>
          <w:sz w:val="24"/>
          <w:szCs w:val="24"/>
        </w:rPr>
      </w:pPr>
      <w:r w:rsidRPr="00B4658E">
        <w:rPr>
          <w:rFonts w:ascii="Times New Roman" w:hAnsi="Times New Roman" w:cs="Times New Roman"/>
          <w:sz w:val="24"/>
          <w:szCs w:val="24"/>
        </w:rPr>
        <w:tab/>
        <w:t xml:space="preserve">Perhaps Leo Tolstoy’s most essential work is his mammoth 1869 novel </w:t>
      </w:r>
      <w:r w:rsidRPr="00B4658E">
        <w:rPr>
          <w:rFonts w:ascii="Times New Roman" w:hAnsi="Times New Roman" w:cs="Times New Roman"/>
          <w:i/>
          <w:iCs/>
          <w:sz w:val="24"/>
          <w:szCs w:val="24"/>
        </w:rPr>
        <w:t>War and Peace</w:t>
      </w:r>
      <w:r w:rsidR="002A2968" w:rsidRPr="00B4658E">
        <w:rPr>
          <w:rFonts w:ascii="Times New Roman" w:hAnsi="Times New Roman" w:cs="Times New Roman"/>
          <w:sz w:val="24"/>
          <w:szCs w:val="24"/>
        </w:rPr>
        <w:t xml:space="preserve">, which was considered by fellow writer Ivan Goncharov the book that made Tolstoy the “lion of Russian literature” (Sukhikh).  The book follows the lives of four Russian families during the Napoleonic invasion of Russia.  The book addresses themes such as the importance of family, learning from mistakes, and ultimate spiritual redemption.  </w:t>
      </w:r>
      <w:r w:rsidR="00C9742F" w:rsidRPr="00B4658E">
        <w:rPr>
          <w:rFonts w:ascii="Times New Roman" w:hAnsi="Times New Roman" w:cs="Times New Roman"/>
          <w:sz w:val="24"/>
          <w:szCs w:val="24"/>
        </w:rPr>
        <w:t xml:space="preserve">One of the strongest quotes from the book is the following simple lesson: “The Strongest of all warriors are these two—Time and Patience” (Tolstoy, </w:t>
      </w:r>
      <w:r w:rsidR="00C9742F" w:rsidRPr="00B4658E">
        <w:rPr>
          <w:rFonts w:ascii="Times New Roman" w:hAnsi="Times New Roman" w:cs="Times New Roman"/>
          <w:i/>
          <w:iCs/>
          <w:sz w:val="24"/>
          <w:szCs w:val="24"/>
        </w:rPr>
        <w:t>War and Peace</w:t>
      </w:r>
      <w:r w:rsidR="00C9742F" w:rsidRPr="00B4658E">
        <w:rPr>
          <w:rFonts w:ascii="Times New Roman" w:hAnsi="Times New Roman" w:cs="Times New Roman"/>
          <w:sz w:val="24"/>
          <w:szCs w:val="24"/>
        </w:rPr>
        <w:t xml:space="preserve">).  </w:t>
      </w:r>
    </w:p>
    <w:p w14:paraId="10B7D43A" w14:textId="686D505C" w:rsidR="00B4658E" w:rsidRPr="00B4658E" w:rsidRDefault="00C9742F" w:rsidP="00B4658E">
      <w:pPr>
        <w:spacing w:after="0" w:line="480" w:lineRule="auto"/>
        <w:rPr>
          <w:rFonts w:ascii="Times New Roman" w:hAnsi="Times New Roman" w:cs="Times New Roman"/>
          <w:sz w:val="24"/>
          <w:szCs w:val="24"/>
        </w:rPr>
      </w:pPr>
      <w:r w:rsidRPr="00B4658E">
        <w:rPr>
          <w:rFonts w:ascii="Times New Roman" w:hAnsi="Times New Roman" w:cs="Times New Roman"/>
          <w:sz w:val="24"/>
          <w:szCs w:val="24"/>
        </w:rPr>
        <w:tab/>
        <w:t xml:space="preserve">Another important work is the equally, moving but less epic 1886 novel </w:t>
      </w:r>
      <w:r w:rsidRPr="00B4658E">
        <w:rPr>
          <w:rFonts w:ascii="Times New Roman" w:hAnsi="Times New Roman" w:cs="Times New Roman"/>
          <w:i/>
          <w:iCs/>
          <w:sz w:val="24"/>
          <w:szCs w:val="24"/>
        </w:rPr>
        <w:t xml:space="preserve">The Death of Ivan Ilych.  </w:t>
      </w:r>
      <w:r w:rsidRPr="00B4658E">
        <w:rPr>
          <w:rFonts w:ascii="Times New Roman" w:hAnsi="Times New Roman" w:cs="Times New Roman"/>
          <w:sz w:val="24"/>
          <w:szCs w:val="24"/>
        </w:rPr>
        <w:t xml:space="preserve">The much shorter work focuses upon the death of the main character by some type of stomach sickness (probably cancer). </w:t>
      </w:r>
      <w:r w:rsidR="00B4658E" w:rsidRPr="00B4658E">
        <w:rPr>
          <w:rFonts w:ascii="Times New Roman" w:hAnsi="Times New Roman" w:cs="Times New Roman"/>
          <w:sz w:val="24"/>
          <w:szCs w:val="24"/>
        </w:rPr>
        <w:t xml:space="preserve"> According to Mark Freeman “</w:t>
      </w:r>
      <w:r w:rsidR="00B4658E" w:rsidRPr="00B4658E">
        <w:rPr>
          <w:rFonts w:ascii="Times New Roman" w:hAnsi="Times New Roman" w:cs="Times New Roman"/>
          <w:color w:val="202122"/>
          <w:sz w:val="24"/>
          <w:szCs w:val="24"/>
          <w:shd w:val="clear" w:color="auto" w:fill="FFFFFF"/>
        </w:rPr>
        <w:t>it is about the consequences of living without meaning, that is, without a true and abiding connection to one's </w:t>
      </w:r>
      <w:r w:rsidR="00B4658E" w:rsidRPr="00B4658E">
        <w:rPr>
          <w:rFonts w:ascii="Times New Roman" w:hAnsi="Times New Roman" w:cs="Times New Roman"/>
          <w:i/>
          <w:iCs/>
          <w:color w:val="202122"/>
          <w:sz w:val="24"/>
          <w:szCs w:val="24"/>
          <w:shd w:val="clear" w:color="auto" w:fill="FFFFFF"/>
        </w:rPr>
        <w:t>life</w:t>
      </w:r>
      <w:r w:rsidR="00B4658E" w:rsidRPr="00B4658E">
        <w:rPr>
          <w:rFonts w:ascii="Times New Roman" w:hAnsi="Times New Roman" w:cs="Times New Roman"/>
          <w:color w:val="202122"/>
          <w:sz w:val="24"/>
          <w:szCs w:val="24"/>
          <w:shd w:val="clear" w:color="auto" w:fill="FFFFFF"/>
        </w:rPr>
        <w:t>.”</w:t>
      </w:r>
      <w:r w:rsidR="00B4658E" w:rsidRPr="00B4658E">
        <w:rPr>
          <w:rFonts w:ascii="Times New Roman" w:hAnsi="Times New Roman" w:cs="Times New Roman"/>
          <w:sz w:val="24"/>
          <w:szCs w:val="24"/>
        </w:rPr>
        <w:t xml:space="preserve">  The character has the following reflection about his life that can serve as a warning to us: </w:t>
      </w:r>
      <w:r w:rsidR="00B4658E" w:rsidRPr="00B4658E">
        <w:rPr>
          <w:rFonts w:ascii="Times New Roman" w:hAnsi="Times New Roman" w:cs="Times New Roman"/>
          <w:color w:val="181818"/>
          <w:sz w:val="24"/>
          <w:szCs w:val="24"/>
          <w:shd w:val="clear" w:color="auto" w:fill="FFFFFF"/>
        </w:rPr>
        <w:t xml:space="preserve">“Can it be that I have not lived as one ought?" suddenly came into his head. "But how not so, when I've done everything as it should be done?” </w:t>
      </w:r>
      <w:r w:rsidR="00B4658E" w:rsidRPr="00B4658E">
        <w:rPr>
          <w:rFonts w:ascii="Times New Roman" w:hAnsi="Times New Roman" w:cs="Times New Roman"/>
          <w:sz w:val="24"/>
          <w:szCs w:val="24"/>
        </w:rPr>
        <w:t xml:space="preserve">(Tolstoy, </w:t>
      </w:r>
      <w:r w:rsidR="00B4658E" w:rsidRPr="00B4658E">
        <w:rPr>
          <w:rFonts w:ascii="Times New Roman" w:hAnsi="Times New Roman" w:cs="Times New Roman"/>
          <w:i/>
          <w:iCs/>
          <w:sz w:val="24"/>
          <w:szCs w:val="24"/>
        </w:rPr>
        <w:t>The Death of Ivan Ilych</w:t>
      </w:r>
      <w:r w:rsidR="00B4658E" w:rsidRPr="00B4658E">
        <w:rPr>
          <w:rFonts w:ascii="Times New Roman" w:hAnsi="Times New Roman" w:cs="Times New Roman"/>
          <w:sz w:val="24"/>
          <w:szCs w:val="24"/>
        </w:rPr>
        <w:t xml:space="preserve">).  </w:t>
      </w:r>
      <w:r w:rsidRPr="00B4658E">
        <w:rPr>
          <w:rFonts w:ascii="Times New Roman" w:hAnsi="Times New Roman" w:cs="Times New Roman"/>
          <w:sz w:val="24"/>
          <w:szCs w:val="24"/>
        </w:rPr>
        <w:t xml:space="preserve">  </w:t>
      </w:r>
    </w:p>
    <w:p w14:paraId="18A6EA09" w14:textId="77777777" w:rsidR="00B4658E" w:rsidRDefault="00B4658E" w:rsidP="002A2968">
      <w:pPr>
        <w:spacing w:after="0" w:line="480" w:lineRule="auto"/>
        <w:jc w:val="center"/>
        <w:rPr>
          <w:rFonts w:ascii="Times New Roman" w:hAnsi="Times New Roman" w:cs="Times New Roman"/>
          <w:sz w:val="24"/>
          <w:szCs w:val="24"/>
        </w:rPr>
      </w:pPr>
    </w:p>
    <w:p w14:paraId="30BBE87B" w14:textId="77777777" w:rsidR="00B4658E" w:rsidRDefault="00B4658E" w:rsidP="002A2968">
      <w:pPr>
        <w:spacing w:after="0" w:line="480" w:lineRule="auto"/>
        <w:jc w:val="center"/>
        <w:rPr>
          <w:rFonts w:ascii="Times New Roman" w:hAnsi="Times New Roman" w:cs="Times New Roman"/>
          <w:sz w:val="24"/>
          <w:szCs w:val="24"/>
        </w:rPr>
      </w:pPr>
    </w:p>
    <w:p w14:paraId="30F94B1A" w14:textId="77777777" w:rsidR="00B4658E" w:rsidRDefault="00B4658E" w:rsidP="002A2968">
      <w:pPr>
        <w:spacing w:after="0" w:line="480" w:lineRule="auto"/>
        <w:jc w:val="center"/>
        <w:rPr>
          <w:rFonts w:ascii="Times New Roman" w:hAnsi="Times New Roman" w:cs="Times New Roman"/>
          <w:sz w:val="24"/>
          <w:szCs w:val="24"/>
        </w:rPr>
      </w:pPr>
    </w:p>
    <w:p w14:paraId="5F93FFDB" w14:textId="77777777" w:rsidR="00B4658E" w:rsidRDefault="00B4658E" w:rsidP="002A2968">
      <w:pPr>
        <w:spacing w:after="0" w:line="480" w:lineRule="auto"/>
        <w:jc w:val="center"/>
        <w:rPr>
          <w:rFonts w:ascii="Times New Roman" w:hAnsi="Times New Roman" w:cs="Times New Roman"/>
          <w:sz w:val="24"/>
          <w:szCs w:val="24"/>
        </w:rPr>
      </w:pPr>
    </w:p>
    <w:p w14:paraId="575E4C9B" w14:textId="66C2F092" w:rsidR="002A2968" w:rsidRPr="00B4658E" w:rsidRDefault="002A2968" w:rsidP="002A2968">
      <w:pPr>
        <w:spacing w:after="0" w:line="480" w:lineRule="auto"/>
        <w:jc w:val="center"/>
        <w:rPr>
          <w:rFonts w:ascii="Times New Roman" w:hAnsi="Times New Roman" w:cs="Times New Roman"/>
          <w:sz w:val="24"/>
          <w:szCs w:val="24"/>
        </w:rPr>
      </w:pPr>
      <w:r w:rsidRPr="00B4658E">
        <w:rPr>
          <w:rFonts w:ascii="Times New Roman" w:hAnsi="Times New Roman" w:cs="Times New Roman"/>
          <w:sz w:val="24"/>
          <w:szCs w:val="24"/>
        </w:rPr>
        <w:lastRenderedPageBreak/>
        <w:t xml:space="preserve">Works Cited </w:t>
      </w:r>
    </w:p>
    <w:p w14:paraId="21B30A79" w14:textId="77777777" w:rsidR="00B4658E" w:rsidRDefault="00C9742F" w:rsidP="00C9742F">
      <w:pPr>
        <w:spacing w:after="0" w:line="480" w:lineRule="auto"/>
        <w:rPr>
          <w:rFonts w:ascii="Times New Roman" w:hAnsi="Times New Roman" w:cs="Times New Roman"/>
          <w:color w:val="202122"/>
          <w:sz w:val="24"/>
          <w:szCs w:val="24"/>
          <w:shd w:val="clear" w:color="auto" w:fill="EAF3FF"/>
        </w:rPr>
      </w:pPr>
      <w:r w:rsidRPr="00B4658E">
        <w:rPr>
          <w:rFonts w:ascii="Times New Roman" w:hAnsi="Times New Roman" w:cs="Times New Roman"/>
          <w:color w:val="202122"/>
          <w:sz w:val="24"/>
          <w:szCs w:val="24"/>
          <w:shd w:val="clear" w:color="auto" w:fill="EAF3FF"/>
        </w:rPr>
        <w:t>Freeman, Mark (July 1997). "Death, Narrative Integrity, and the Radical Challenge of Self-</w:t>
      </w:r>
      <w:r w:rsidR="00B4658E">
        <w:rPr>
          <w:rFonts w:ascii="Times New Roman" w:hAnsi="Times New Roman" w:cs="Times New Roman"/>
          <w:color w:val="202122"/>
          <w:sz w:val="24"/>
          <w:szCs w:val="24"/>
          <w:shd w:val="clear" w:color="auto" w:fill="EAF3FF"/>
        </w:rPr>
        <w:tab/>
      </w:r>
      <w:r w:rsidRPr="00B4658E">
        <w:rPr>
          <w:rFonts w:ascii="Times New Roman" w:hAnsi="Times New Roman" w:cs="Times New Roman"/>
          <w:color w:val="202122"/>
          <w:sz w:val="24"/>
          <w:szCs w:val="24"/>
          <w:shd w:val="clear" w:color="auto" w:fill="EAF3FF"/>
        </w:rPr>
        <w:t>Understanding: A Reading of Tolstoy's 'Death of Ivan Ilyich</w:t>
      </w:r>
      <w:r w:rsidRPr="00B4658E">
        <w:rPr>
          <w:rStyle w:val="cs1-kern-right"/>
          <w:rFonts w:ascii="Times New Roman" w:hAnsi="Times New Roman" w:cs="Times New Roman"/>
          <w:color w:val="202122"/>
          <w:sz w:val="24"/>
          <w:szCs w:val="24"/>
          <w:shd w:val="clear" w:color="auto" w:fill="EAF3FF"/>
        </w:rPr>
        <w:t>'</w:t>
      </w:r>
      <w:r w:rsidRPr="00B4658E">
        <w:rPr>
          <w:rFonts w:ascii="Times New Roman" w:hAnsi="Times New Roman" w:cs="Times New Roman"/>
          <w:color w:val="202122"/>
          <w:sz w:val="24"/>
          <w:szCs w:val="24"/>
          <w:shd w:val="clear" w:color="auto" w:fill="EAF3FF"/>
        </w:rPr>
        <w:t>". </w:t>
      </w:r>
      <w:r w:rsidRPr="00B4658E">
        <w:rPr>
          <w:rFonts w:ascii="Times New Roman" w:hAnsi="Times New Roman" w:cs="Times New Roman"/>
          <w:i/>
          <w:iCs/>
          <w:color w:val="202122"/>
          <w:sz w:val="24"/>
          <w:szCs w:val="24"/>
          <w:shd w:val="clear" w:color="auto" w:fill="EAF3FF"/>
        </w:rPr>
        <w:t>Ageing &amp; Society</w:t>
      </w:r>
      <w:r w:rsidRPr="00B4658E">
        <w:rPr>
          <w:rFonts w:ascii="Times New Roman" w:hAnsi="Times New Roman" w:cs="Times New Roman"/>
          <w:color w:val="202122"/>
          <w:sz w:val="24"/>
          <w:szCs w:val="24"/>
          <w:shd w:val="clear" w:color="auto" w:fill="EAF3FF"/>
        </w:rPr>
        <w:t>. </w:t>
      </w:r>
      <w:r w:rsidRPr="00B4658E">
        <w:rPr>
          <w:rFonts w:ascii="Times New Roman" w:hAnsi="Times New Roman" w:cs="Times New Roman"/>
          <w:b/>
          <w:bCs/>
          <w:color w:val="202122"/>
          <w:sz w:val="24"/>
          <w:szCs w:val="24"/>
          <w:shd w:val="clear" w:color="auto" w:fill="EAF3FF"/>
        </w:rPr>
        <w:t>17</w:t>
      </w:r>
      <w:r w:rsidRPr="00B4658E">
        <w:rPr>
          <w:rFonts w:ascii="Times New Roman" w:hAnsi="Times New Roman" w:cs="Times New Roman"/>
          <w:color w:val="202122"/>
          <w:sz w:val="24"/>
          <w:szCs w:val="24"/>
          <w:shd w:val="clear" w:color="auto" w:fill="EAF3FF"/>
        </w:rPr>
        <w:t xml:space="preserve"> (4): </w:t>
      </w:r>
    </w:p>
    <w:p w14:paraId="3F0AD27B" w14:textId="6F90D11C" w:rsidR="00B4658E" w:rsidRPr="00B4658E" w:rsidRDefault="00C9742F" w:rsidP="00B4658E">
      <w:pPr>
        <w:spacing w:after="0" w:line="480" w:lineRule="auto"/>
        <w:ind w:firstLine="720"/>
        <w:rPr>
          <w:rFonts w:ascii="Times New Roman" w:hAnsi="Times New Roman" w:cs="Times New Roman"/>
          <w:color w:val="202122"/>
          <w:sz w:val="24"/>
          <w:szCs w:val="24"/>
          <w:shd w:val="clear" w:color="auto" w:fill="EAF3FF"/>
        </w:rPr>
      </w:pPr>
      <w:r w:rsidRPr="00B4658E">
        <w:rPr>
          <w:rFonts w:ascii="Times New Roman" w:hAnsi="Times New Roman" w:cs="Times New Roman"/>
          <w:color w:val="202122"/>
          <w:sz w:val="24"/>
          <w:szCs w:val="24"/>
          <w:shd w:val="clear" w:color="auto" w:fill="EAF3FF"/>
        </w:rPr>
        <w:t>373–398. </w:t>
      </w:r>
      <w:hyperlink r:id="rId6" w:tooltip="Doi (identifier)" w:history="1">
        <w:r w:rsidRPr="00B4658E">
          <w:rPr>
            <w:rStyle w:val="Hyperlink"/>
            <w:rFonts w:ascii="Times New Roman" w:hAnsi="Times New Roman" w:cs="Times New Roman"/>
            <w:color w:val="0B0080"/>
            <w:sz w:val="24"/>
            <w:szCs w:val="24"/>
            <w:shd w:val="clear" w:color="auto" w:fill="EAF3FF"/>
          </w:rPr>
          <w:t>doi</w:t>
        </w:r>
      </w:hyperlink>
      <w:r w:rsidRPr="00B4658E">
        <w:rPr>
          <w:rFonts w:ascii="Times New Roman" w:hAnsi="Times New Roman" w:cs="Times New Roman"/>
          <w:color w:val="202122"/>
          <w:sz w:val="24"/>
          <w:szCs w:val="24"/>
          <w:shd w:val="clear" w:color="auto" w:fill="EAF3FF"/>
        </w:rPr>
        <w:t>:</w:t>
      </w:r>
      <w:hyperlink r:id="rId7" w:history="1">
        <w:r w:rsidRPr="00B4658E">
          <w:rPr>
            <w:rStyle w:val="Hyperlink"/>
            <w:rFonts w:ascii="Times New Roman" w:hAnsi="Times New Roman" w:cs="Times New Roman"/>
            <w:color w:val="663366"/>
            <w:sz w:val="24"/>
            <w:szCs w:val="24"/>
          </w:rPr>
          <w:t>10.1017/S0144686X97006508</w:t>
        </w:r>
      </w:hyperlink>
      <w:r w:rsidRPr="00B4658E">
        <w:rPr>
          <w:rFonts w:ascii="Times New Roman" w:hAnsi="Times New Roman" w:cs="Times New Roman"/>
          <w:color w:val="202122"/>
          <w:sz w:val="24"/>
          <w:szCs w:val="24"/>
          <w:shd w:val="clear" w:color="auto" w:fill="EAF3FF"/>
        </w:rPr>
        <w:t>.</w:t>
      </w:r>
    </w:p>
    <w:p w14:paraId="22B07A3B" w14:textId="1C3DA378" w:rsidR="002A2968" w:rsidRPr="00B4658E" w:rsidRDefault="002A2968" w:rsidP="002A2968">
      <w:pPr>
        <w:spacing w:after="0" w:line="480" w:lineRule="auto"/>
        <w:rPr>
          <w:rFonts w:ascii="Times New Roman" w:hAnsi="Times New Roman" w:cs="Times New Roman"/>
          <w:color w:val="202122"/>
          <w:sz w:val="24"/>
          <w:szCs w:val="24"/>
          <w:shd w:val="clear" w:color="auto" w:fill="EAF3FF"/>
        </w:rPr>
      </w:pPr>
      <w:r w:rsidRPr="00B4658E">
        <w:rPr>
          <w:rFonts w:ascii="Times New Roman" w:hAnsi="Times New Roman" w:cs="Times New Roman"/>
          <w:color w:val="202122"/>
          <w:sz w:val="24"/>
          <w:szCs w:val="24"/>
          <w:shd w:val="clear" w:color="auto" w:fill="EAF3FF"/>
        </w:rPr>
        <w:t>Sukhikh, Igor (2007). </w:t>
      </w:r>
      <w:hyperlink r:id="rId8" w:history="1">
        <w:r w:rsidRPr="00B4658E">
          <w:rPr>
            <w:rStyle w:val="Hyperlink"/>
            <w:rFonts w:ascii="Times New Roman" w:hAnsi="Times New Roman" w:cs="Times New Roman"/>
            <w:color w:val="663366"/>
            <w:sz w:val="24"/>
            <w:szCs w:val="24"/>
          </w:rPr>
          <w:t>"The History of XIX Russian</w:t>
        </w:r>
        <w:r w:rsidRPr="00B4658E">
          <w:rPr>
            <w:rStyle w:val="Hyperlink"/>
            <w:rFonts w:ascii="Times New Roman" w:hAnsi="Times New Roman" w:cs="Times New Roman"/>
            <w:color w:val="663366"/>
            <w:sz w:val="24"/>
            <w:szCs w:val="24"/>
          </w:rPr>
          <w:tab/>
          <w:t xml:space="preserve"> literature"</w:t>
        </w:r>
      </w:hyperlink>
      <w:r w:rsidRPr="00B4658E">
        <w:rPr>
          <w:rFonts w:ascii="Times New Roman" w:hAnsi="Times New Roman" w:cs="Times New Roman"/>
          <w:color w:val="202122"/>
          <w:sz w:val="24"/>
          <w:szCs w:val="24"/>
          <w:shd w:val="clear" w:color="auto" w:fill="EAF3FF"/>
        </w:rPr>
        <w:t>. </w:t>
      </w:r>
      <w:hyperlink r:id="rId9" w:tooltip="Zvezda (magazine)" w:history="1">
        <w:r w:rsidRPr="00B4658E">
          <w:rPr>
            <w:rStyle w:val="Hyperlink"/>
            <w:rFonts w:ascii="Times New Roman" w:hAnsi="Times New Roman" w:cs="Times New Roman"/>
            <w:i/>
            <w:iCs/>
            <w:color w:val="0B0080"/>
            <w:sz w:val="24"/>
            <w:szCs w:val="24"/>
            <w:shd w:val="clear" w:color="auto" w:fill="EAF3FF"/>
          </w:rPr>
          <w:t>Zvezda</w:t>
        </w:r>
      </w:hyperlink>
      <w:r w:rsidRPr="00B4658E">
        <w:rPr>
          <w:rStyle w:val="reference-accessdate"/>
          <w:rFonts w:ascii="Times New Roman" w:hAnsi="Times New Roman" w:cs="Times New Roman"/>
          <w:color w:val="202122"/>
          <w:sz w:val="24"/>
          <w:szCs w:val="24"/>
          <w:shd w:val="clear" w:color="auto" w:fill="EAF3FF"/>
        </w:rPr>
        <w:t>. Retrieved </w:t>
      </w:r>
      <w:r w:rsidRPr="00B4658E">
        <w:rPr>
          <w:rStyle w:val="nowrap"/>
          <w:rFonts w:ascii="Times New Roman" w:hAnsi="Times New Roman" w:cs="Times New Roman"/>
          <w:color w:val="202122"/>
          <w:sz w:val="24"/>
          <w:szCs w:val="24"/>
          <w:shd w:val="clear" w:color="auto" w:fill="EAF3FF"/>
        </w:rPr>
        <w:t>2012-03-01</w:t>
      </w:r>
      <w:r w:rsidRPr="00B4658E">
        <w:rPr>
          <w:rFonts w:ascii="Times New Roman" w:hAnsi="Times New Roman" w:cs="Times New Roman"/>
          <w:color w:val="202122"/>
          <w:sz w:val="24"/>
          <w:szCs w:val="24"/>
          <w:shd w:val="clear" w:color="auto" w:fill="EAF3FF"/>
        </w:rPr>
        <w:t>.</w:t>
      </w:r>
    </w:p>
    <w:p w14:paraId="0EDD4198" w14:textId="217F9C19" w:rsidR="00C9742F" w:rsidRPr="00B4658E" w:rsidRDefault="00C9742F" w:rsidP="002A2968">
      <w:pPr>
        <w:spacing w:after="0" w:line="480" w:lineRule="auto"/>
        <w:rPr>
          <w:rFonts w:ascii="Times New Roman" w:hAnsi="Times New Roman" w:cs="Times New Roman"/>
          <w:color w:val="202122"/>
          <w:sz w:val="24"/>
          <w:szCs w:val="24"/>
          <w:shd w:val="clear" w:color="auto" w:fill="EAF3FF"/>
        </w:rPr>
      </w:pPr>
      <w:r w:rsidRPr="00B4658E">
        <w:rPr>
          <w:rFonts w:ascii="Times New Roman" w:hAnsi="Times New Roman" w:cs="Times New Roman"/>
          <w:color w:val="202122"/>
          <w:sz w:val="24"/>
          <w:szCs w:val="24"/>
          <w:shd w:val="clear" w:color="auto" w:fill="EAF3FF"/>
        </w:rPr>
        <w:t>Tolstoy, Leo. –</w:t>
      </w:r>
      <w:r w:rsidRPr="00B4658E">
        <w:rPr>
          <w:rFonts w:ascii="Times New Roman" w:hAnsi="Times New Roman" w:cs="Times New Roman"/>
          <w:i/>
          <w:iCs/>
          <w:color w:val="202122"/>
          <w:sz w:val="24"/>
          <w:szCs w:val="24"/>
          <w:shd w:val="clear" w:color="auto" w:fill="EAF3FF"/>
        </w:rPr>
        <w:t xml:space="preserve">Anna Karenina </w:t>
      </w:r>
      <w:r w:rsidRPr="00B4658E">
        <w:rPr>
          <w:rFonts w:ascii="Times New Roman" w:hAnsi="Times New Roman" w:cs="Times New Roman"/>
          <w:color w:val="202122"/>
          <w:sz w:val="24"/>
          <w:szCs w:val="24"/>
          <w:shd w:val="clear" w:color="auto" w:fill="EAF3FF"/>
        </w:rPr>
        <w:t xml:space="preserve"> </w:t>
      </w:r>
    </w:p>
    <w:p w14:paraId="66F5A84B" w14:textId="416E1BB8" w:rsidR="00C9742F" w:rsidRPr="00B4658E" w:rsidRDefault="00C9742F" w:rsidP="00C9742F">
      <w:pPr>
        <w:spacing w:after="0" w:line="480" w:lineRule="auto"/>
        <w:ind w:firstLine="720"/>
        <w:rPr>
          <w:rFonts w:ascii="Times New Roman" w:hAnsi="Times New Roman" w:cs="Times New Roman"/>
          <w:color w:val="202122"/>
          <w:sz w:val="24"/>
          <w:szCs w:val="24"/>
          <w:shd w:val="clear" w:color="auto" w:fill="EAF3FF"/>
        </w:rPr>
      </w:pPr>
      <w:r w:rsidRPr="00B4658E">
        <w:rPr>
          <w:rFonts w:ascii="Times New Roman" w:hAnsi="Times New Roman" w:cs="Times New Roman"/>
          <w:color w:val="202122"/>
          <w:sz w:val="24"/>
          <w:szCs w:val="24"/>
          <w:shd w:val="clear" w:color="auto" w:fill="EAF3FF"/>
        </w:rPr>
        <w:t>--</w:t>
      </w:r>
      <w:r w:rsidRPr="00B4658E">
        <w:rPr>
          <w:rFonts w:ascii="Times New Roman" w:hAnsi="Times New Roman" w:cs="Times New Roman"/>
          <w:i/>
          <w:iCs/>
          <w:color w:val="202122"/>
          <w:sz w:val="24"/>
          <w:szCs w:val="24"/>
          <w:shd w:val="clear" w:color="auto" w:fill="EAF3FF"/>
        </w:rPr>
        <w:t xml:space="preserve">The Death of Ivan Ilych </w:t>
      </w:r>
      <w:r w:rsidRPr="00B4658E">
        <w:rPr>
          <w:rFonts w:ascii="Times New Roman" w:hAnsi="Times New Roman" w:cs="Times New Roman"/>
          <w:color w:val="202122"/>
          <w:sz w:val="24"/>
          <w:szCs w:val="24"/>
          <w:shd w:val="clear" w:color="auto" w:fill="EAF3FF"/>
        </w:rPr>
        <w:t xml:space="preserve"> </w:t>
      </w:r>
    </w:p>
    <w:p w14:paraId="03B4FC2D" w14:textId="1633F1DA" w:rsidR="00C9742F" w:rsidRPr="00B4658E" w:rsidRDefault="00C9742F" w:rsidP="00C9742F">
      <w:pPr>
        <w:spacing w:after="0" w:line="480" w:lineRule="auto"/>
        <w:ind w:firstLine="720"/>
        <w:rPr>
          <w:rFonts w:ascii="Times New Roman" w:hAnsi="Times New Roman" w:cs="Times New Roman"/>
          <w:i/>
          <w:iCs/>
          <w:color w:val="202122"/>
          <w:sz w:val="24"/>
          <w:szCs w:val="24"/>
          <w:shd w:val="clear" w:color="auto" w:fill="EAF3FF"/>
        </w:rPr>
      </w:pPr>
      <w:r w:rsidRPr="00B4658E">
        <w:rPr>
          <w:rFonts w:ascii="Times New Roman" w:hAnsi="Times New Roman" w:cs="Times New Roman"/>
          <w:color w:val="202122"/>
          <w:sz w:val="24"/>
          <w:szCs w:val="24"/>
          <w:shd w:val="clear" w:color="auto" w:fill="EAF3FF"/>
        </w:rPr>
        <w:t>--</w:t>
      </w:r>
      <w:r w:rsidRPr="00B4658E">
        <w:rPr>
          <w:rFonts w:ascii="Times New Roman" w:hAnsi="Times New Roman" w:cs="Times New Roman"/>
          <w:i/>
          <w:iCs/>
          <w:color w:val="202122"/>
          <w:sz w:val="24"/>
          <w:szCs w:val="24"/>
          <w:shd w:val="clear" w:color="auto" w:fill="EAF3FF"/>
        </w:rPr>
        <w:t>War and Peace</w:t>
      </w:r>
    </w:p>
    <w:p w14:paraId="54D7495B" w14:textId="77777777" w:rsidR="00C9742F" w:rsidRPr="00C9742F" w:rsidRDefault="00C9742F" w:rsidP="002A2968">
      <w:pPr>
        <w:spacing w:after="0" w:line="480" w:lineRule="auto"/>
        <w:rPr>
          <w:rFonts w:ascii="Times New Roman" w:hAnsi="Times New Roman" w:cs="Times New Roman"/>
          <w:i/>
          <w:iCs/>
          <w:sz w:val="40"/>
          <w:szCs w:val="40"/>
        </w:rPr>
      </w:pPr>
    </w:p>
    <w:p w14:paraId="3ABD57ED" w14:textId="77777777" w:rsidR="001E7654" w:rsidRDefault="001E7654" w:rsidP="001E7654">
      <w:pPr>
        <w:spacing w:after="0" w:line="480" w:lineRule="auto"/>
        <w:rPr>
          <w:rFonts w:ascii="Times New Roman" w:hAnsi="Times New Roman" w:cs="Times New Roman"/>
          <w:sz w:val="40"/>
          <w:szCs w:val="40"/>
        </w:rPr>
      </w:pPr>
    </w:p>
    <w:p w14:paraId="5EDF8CD5" w14:textId="77777777" w:rsidR="001E7654" w:rsidRPr="001E7654" w:rsidRDefault="001E7654" w:rsidP="001E7654">
      <w:pPr>
        <w:spacing w:after="0" w:line="480" w:lineRule="auto"/>
        <w:rPr>
          <w:rFonts w:ascii="Times New Roman" w:hAnsi="Times New Roman" w:cs="Times New Roman"/>
          <w:sz w:val="40"/>
          <w:szCs w:val="40"/>
        </w:rPr>
      </w:pPr>
    </w:p>
    <w:sectPr w:rsidR="001E7654" w:rsidRPr="001E765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4F82C" w14:textId="77777777" w:rsidR="00DC5C09" w:rsidRDefault="00DC5C09" w:rsidP="001E7654">
      <w:pPr>
        <w:spacing w:after="0" w:line="240" w:lineRule="auto"/>
      </w:pPr>
      <w:r>
        <w:separator/>
      </w:r>
    </w:p>
  </w:endnote>
  <w:endnote w:type="continuationSeparator" w:id="0">
    <w:p w14:paraId="7B23690D" w14:textId="77777777" w:rsidR="00DC5C09" w:rsidRDefault="00DC5C09" w:rsidP="001E7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A471B" w14:textId="77777777" w:rsidR="00DC5C09" w:rsidRDefault="00DC5C09" w:rsidP="001E7654">
      <w:pPr>
        <w:spacing w:after="0" w:line="240" w:lineRule="auto"/>
      </w:pPr>
      <w:r>
        <w:separator/>
      </w:r>
    </w:p>
  </w:footnote>
  <w:footnote w:type="continuationSeparator" w:id="0">
    <w:p w14:paraId="28DE64C4" w14:textId="77777777" w:rsidR="00DC5C09" w:rsidRDefault="00DC5C09" w:rsidP="001E7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3811543"/>
      <w:docPartObj>
        <w:docPartGallery w:val="Page Numbers (Top of Page)"/>
        <w:docPartUnique/>
      </w:docPartObj>
    </w:sdtPr>
    <w:sdtEndPr>
      <w:rPr>
        <w:noProof/>
      </w:rPr>
    </w:sdtEndPr>
    <w:sdtContent>
      <w:p w14:paraId="4AEFB2C7" w14:textId="4D5B5FC8" w:rsidR="001E7654" w:rsidRDefault="001E7654">
        <w:pPr>
          <w:pStyle w:val="Header"/>
          <w:jc w:val="right"/>
        </w:pPr>
        <w:r>
          <w:t xml:space="preserve">Godat </w:t>
        </w:r>
        <w:r>
          <w:fldChar w:fldCharType="begin"/>
        </w:r>
        <w:r>
          <w:instrText xml:space="preserve"> PAGE   \* MERGEFORMAT </w:instrText>
        </w:r>
        <w:r>
          <w:fldChar w:fldCharType="separate"/>
        </w:r>
        <w:r>
          <w:rPr>
            <w:noProof/>
          </w:rPr>
          <w:t>2</w:t>
        </w:r>
        <w:r>
          <w:rPr>
            <w:noProof/>
          </w:rPr>
          <w:fldChar w:fldCharType="end"/>
        </w:r>
      </w:p>
    </w:sdtContent>
  </w:sdt>
  <w:p w14:paraId="33EA9597" w14:textId="77777777" w:rsidR="001E7654" w:rsidRDefault="001E76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54"/>
    <w:rsid w:val="001E7654"/>
    <w:rsid w:val="002A2968"/>
    <w:rsid w:val="00556726"/>
    <w:rsid w:val="00932FA9"/>
    <w:rsid w:val="00AF5D54"/>
    <w:rsid w:val="00B4658E"/>
    <w:rsid w:val="00C9742F"/>
    <w:rsid w:val="00DC5C09"/>
    <w:rsid w:val="00F9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80D7"/>
  <w15:chartTrackingRefBased/>
  <w15:docId w15:val="{52073C40-27F6-4638-AC2F-64552B4E1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654"/>
  </w:style>
  <w:style w:type="paragraph" w:styleId="Footer">
    <w:name w:val="footer"/>
    <w:basedOn w:val="Normal"/>
    <w:link w:val="FooterChar"/>
    <w:uiPriority w:val="99"/>
    <w:unhideWhenUsed/>
    <w:rsid w:val="001E7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654"/>
  </w:style>
  <w:style w:type="character" w:styleId="Hyperlink">
    <w:name w:val="Hyperlink"/>
    <w:basedOn w:val="DefaultParagraphFont"/>
    <w:uiPriority w:val="99"/>
    <w:semiHidden/>
    <w:unhideWhenUsed/>
    <w:rsid w:val="002A2968"/>
    <w:rPr>
      <w:color w:val="0000FF"/>
      <w:u w:val="single"/>
    </w:rPr>
  </w:style>
  <w:style w:type="character" w:customStyle="1" w:styleId="reference-accessdate">
    <w:name w:val="reference-accessdate"/>
    <w:basedOn w:val="DefaultParagraphFont"/>
    <w:rsid w:val="002A2968"/>
  </w:style>
  <w:style w:type="character" w:customStyle="1" w:styleId="nowrap">
    <w:name w:val="nowrap"/>
    <w:basedOn w:val="DefaultParagraphFont"/>
    <w:rsid w:val="002A2968"/>
  </w:style>
  <w:style w:type="character" w:styleId="FollowedHyperlink">
    <w:name w:val="FollowedHyperlink"/>
    <w:basedOn w:val="DefaultParagraphFont"/>
    <w:uiPriority w:val="99"/>
    <w:semiHidden/>
    <w:unhideWhenUsed/>
    <w:rsid w:val="002A2968"/>
    <w:rPr>
      <w:color w:val="954F72" w:themeColor="followedHyperlink"/>
      <w:u w:val="single"/>
    </w:rPr>
  </w:style>
  <w:style w:type="character" w:customStyle="1" w:styleId="cs1-kern-right">
    <w:name w:val="cs1-kern-right"/>
    <w:basedOn w:val="DefaultParagraphFont"/>
    <w:rsid w:val="00C97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agazines.russ.ru/zvezda/2007/2/su15.html" TargetMode="External"/><Relationship Id="rId3" Type="http://schemas.openxmlformats.org/officeDocument/2006/relationships/webSettings" Target="webSettings.xml"/><Relationship Id="rId7" Type="http://schemas.openxmlformats.org/officeDocument/2006/relationships/hyperlink" Target="https://doi.org/10.1017%2FS0144686X9700650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Doi_(identifier)"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en.wikipedia.org/wiki/Zvezda_(magaz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Mattthew Godat</dc:creator>
  <cp:keywords/>
  <dc:description/>
  <cp:lastModifiedBy>anekia kelly</cp:lastModifiedBy>
  <cp:revision>3</cp:revision>
  <dcterms:created xsi:type="dcterms:W3CDTF">2020-07-08T00:02:00Z</dcterms:created>
  <dcterms:modified xsi:type="dcterms:W3CDTF">2020-07-08T00:12:00Z</dcterms:modified>
</cp:coreProperties>
</file>